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F53" w:rsidRDefault="00B269C7" w:rsidP="00B269C7">
      <w:pPr>
        <w:ind w:firstLineChars="200" w:firstLine="542"/>
        <w:rPr>
          <w:rFonts w:ascii="Arial" w:hAnsi="Arial" w:cs="Arial" w:hint="eastAsia"/>
          <w:b/>
          <w:bCs/>
          <w:color w:val="09295D"/>
          <w:sz w:val="27"/>
          <w:szCs w:val="27"/>
        </w:rPr>
      </w:pPr>
      <w:r>
        <w:rPr>
          <w:rFonts w:ascii="Arial" w:hAnsi="Arial" w:cs="Arial"/>
          <w:b/>
          <w:bCs/>
          <w:color w:val="09295D"/>
          <w:sz w:val="27"/>
          <w:szCs w:val="27"/>
        </w:rPr>
        <w:t>关于做好我校</w:t>
      </w:r>
      <w:r>
        <w:rPr>
          <w:rFonts w:ascii="Arial" w:hAnsi="Arial" w:cs="Arial"/>
          <w:b/>
          <w:bCs/>
          <w:color w:val="09295D"/>
          <w:sz w:val="27"/>
          <w:szCs w:val="27"/>
        </w:rPr>
        <w:t>2015</w:t>
      </w:r>
      <w:r>
        <w:rPr>
          <w:rFonts w:ascii="Arial" w:hAnsi="Arial" w:cs="Arial"/>
          <w:b/>
          <w:bCs/>
          <w:color w:val="09295D"/>
          <w:sz w:val="27"/>
          <w:szCs w:val="27"/>
        </w:rPr>
        <w:t>年度专业技术职务评聘工作的通知</w:t>
      </w:r>
    </w:p>
    <w:p w:rsidR="00B269C7" w:rsidRDefault="00B269C7" w:rsidP="00B269C7">
      <w:pPr>
        <w:rPr>
          <w:rFonts w:ascii="Arial" w:hAnsi="Arial" w:cs="Arial" w:hint="eastAsia"/>
          <w:b/>
          <w:bCs/>
          <w:color w:val="09295D"/>
          <w:sz w:val="27"/>
          <w:szCs w:val="27"/>
        </w:rPr>
      </w:pP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各学院（部门）：</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为做好</w:t>
      </w:r>
      <w:r>
        <w:rPr>
          <w:rFonts w:ascii="Arial" w:hAnsi="Arial" w:cs="Arial"/>
          <w:sz w:val="21"/>
          <w:szCs w:val="21"/>
        </w:rPr>
        <w:t>2015</w:t>
      </w:r>
      <w:r>
        <w:rPr>
          <w:rFonts w:ascii="Arial" w:hAnsi="Arial" w:cs="Arial"/>
          <w:sz w:val="21"/>
          <w:szCs w:val="21"/>
        </w:rPr>
        <w:t>年度我校专业技术职务评聘工作，现结合我校实际，就有关事项通知如下：</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一、总体要求</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根据浙江省高校教师专业技术职务评审制度改革精神和要求，继续开展教师等各系列各级职务的自主评审工作，学校将在省核定的岗位总量和结构比例内，结合我校专业技术岗位的现状，依据相关规定、标准和程序开展自主评聘工作，实行评聘结合。</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二、基本原则</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专业技术职务评聘制度坚持与岗位设置管理制度相结合、相配套，实行评聘有机结合；坚持按需设岗、竞聘上岗、按岗评聘、合同管理；坚持同行评价、分类评价、综合评价相结合，促进评价与使用有机融合，鼓励教师安心教学、科研与管理；坚持公开、公平、公正、竞争、择优，保障教师平等参与权。</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三</w:t>
      </w:r>
      <w:r>
        <w:rPr>
          <w:rFonts w:ascii="Arial" w:hAnsi="Arial" w:cs="Arial"/>
          <w:b/>
          <w:bCs/>
          <w:sz w:val="21"/>
          <w:szCs w:val="21"/>
        </w:rPr>
        <w:t>、评聘工作具体要求</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1</w:t>
      </w:r>
      <w:r>
        <w:rPr>
          <w:rFonts w:ascii="Arial" w:hAnsi="Arial" w:cs="Arial"/>
          <w:sz w:val="21"/>
          <w:szCs w:val="21"/>
        </w:rPr>
        <w:t>、高度重视，严格把关</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专业技术职务评聘工作政策性强、要求高，关系到学校师资队伍建设，关系到教职工的切身利益，各级领导必须要高度重视，做到</w:t>
      </w:r>
      <w:r>
        <w:rPr>
          <w:rFonts w:ascii="Arial" w:hAnsi="Arial" w:cs="Arial"/>
          <w:sz w:val="21"/>
          <w:szCs w:val="21"/>
        </w:rPr>
        <w:t>“</w:t>
      </w:r>
      <w:r>
        <w:rPr>
          <w:rFonts w:ascii="Arial" w:hAnsi="Arial" w:cs="Arial"/>
          <w:sz w:val="21"/>
          <w:szCs w:val="21"/>
        </w:rPr>
        <w:t>一把手全面负责，落实专人具体负责</w:t>
      </w:r>
      <w:r>
        <w:rPr>
          <w:rFonts w:ascii="Arial" w:hAnsi="Arial" w:cs="Arial"/>
          <w:sz w:val="21"/>
          <w:szCs w:val="21"/>
        </w:rPr>
        <w:t>”</w:t>
      </w:r>
      <w:r>
        <w:rPr>
          <w:rFonts w:ascii="Arial" w:hAnsi="Arial" w:cs="Arial"/>
          <w:sz w:val="21"/>
          <w:szCs w:val="21"/>
        </w:rPr>
        <w:t>。</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要按照相关规定，严把参评人员的资格关，严把申报材料的审核关（包括各类证件原件的审查），做到谁</w:t>
      </w:r>
      <w:proofErr w:type="gramStart"/>
      <w:r>
        <w:rPr>
          <w:rFonts w:ascii="Arial" w:hAnsi="Arial" w:cs="Arial"/>
          <w:sz w:val="21"/>
          <w:szCs w:val="21"/>
        </w:rPr>
        <w:t>审核谁</w:t>
      </w:r>
      <w:proofErr w:type="gramEnd"/>
      <w:r>
        <w:rPr>
          <w:rFonts w:ascii="Arial" w:hAnsi="Arial" w:cs="Arial"/>
          <w:sz w:val="21"/>
          <w:szCs w:val="21"/>
        </w:rPr>
        <w:t>负责。</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lastRenderedPageBreak/>
        <w:t xml:space="preserve">      </w:t>
      </w:r>
      <w:r>
        <w:rPr>
          <w:rFonts w:ascii="Arial" w:hAnsi="Arial" w:cs="Arial"/>
          <w:sz w:val="21"/>
          <w:szCs w:val="21"/>
        </w:rPr>
        <w:t>要按照学校制定的专业技术职务评聘工作流程和时间表，严把进度关，及时做好评聘材料的填写指导、检查和上报工作。</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2</w:t>
      </w:r>
      <w:r>
        <w:rPr>
          <w:rFonts w:ascii="Arial" w:hAnsi="Arial" w:cs="Arial"/>
          <w:sz w:val="21"/>
          <w:szCs w:val="21"/>
        </w:rPr>
        <w:t>、统筹规划，择优推荐</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要认真组织学习近几年省教育厅有关专业技术职务评审工作文件，了解新政策，把握新要求。要将专业技术职务评审工作与岗位设置工作紧密结合，实行评聘有机结合。做好本部门教师专业技术职务晋升的规划，择优推荐，规范推荐程序，提高专业技术职务评聘工作的质量，优化师资队伍的职称结构。</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四、评聘计划</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根据上级文件精神与要求，结合我校师资队伍岗位数量、结构等实际现状，依据师资队伍建设中长期规划，在保证队伍发展、预留一定发展空间的前提下，制定本年度评聘计划。</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五、评审标准</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根据浙江省</w:t>
      </w:r>
      <w:proofErr w:type="gramStart"/>
      <w:r>
        <w:rPr>
          <w:rFonts w:ascii="Arial" w:hAnsi="Arial" w:cs="Arial"/>
          <w:sz w:val="21"/>
          <w:szCs w:val="21"/>
        </w:rPr>
        <w:t>人社厅</w:t>
      </w:r>
      <w:proofErr w:type="gramEnd"/>
      <w:r>
        <w:rPr>
          <w:rFonts w:ascii="Arial" w:hAnsi="Arial" w:cs="Arial"/>
          <w:sz w:val="21"/>
          <w:szCs w:val="21"/>
        </w:rPr>
        <w:t>、教育厅等历年专业技术职务评聘有关文件，以及《浙江树人大学关于专业技术职务申评审条件的暂行规定》。</w:t>
      </w:r>
      <w:r>
        <w:rPr>
          <w:rFonts w:ascii="Arial" w:hAnsi="Arial" w:cs="Arial"/>
          <w:sz w:val="21"/>
          <w:szCs w:val="21"/>
        </w:rPr>
        <w:t xml:space="preserve"> </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《暂行规定》适用高校教师（含科学研究，下同）、</w:t>
      </w:r>
      <w:proofErr w:type="gramStart"/>
      <w:r>
        <w:rPr>
          <w:rFonts w:ascii="Arial" w:hAnsi="Arial" w:cs="Arial"/>
          <w:sz w:val="21"/>
          <w:szCs w:val="21"/>
        </w:rPr>
        <w:t>思政教师</w:t>
      </w:r>
      <w:proofErr w:type="gramEnd"/>
      <w:r>
        <w:rPr>
          <w:rFonts w:ascii="Arial" w:hAnsi="Arial" w:cs="Arial"/>
          <w:sz w:val="21"/>
          <w:szCs w:val="21"/>
        </w:rPr>
        <w:t>、实验技术、社会科学研究系列教育管理方向（专业）、图书资料系列中级及以上专业技术职务的申报，博士初定专业技术职务条件按照上级及学校有关文件规定执行。未列入本暂行规定的其他评审系列，其申报条件暂按上级有关文件执行，</w:t>
      </w:r>
      <w:proofErr w:type="gramStart"/>
      <w:r>
        <w:rPr>
          <w:rFonts w:ascii="Arial" w:hAnsi="Arial" w:cs="Arial"/>
          <w:sz w:val="21"/>
          <w:szCs w:val="21"/>
        </w:rPr>
        <w:t>聘任按</w:t>
      </w:r>
      <w:proofErr w:type="gramEnd"/>
      <w:r>
        <w:rPr>
          <w:rFonts w:ascii="Arial" w:hAnsi="Arial" w:cs="Arial"/>
          <w:sz w:val="21"/>
          <w:szCs w:val="21"/>
        </w:rPr>
        <w:t>学校相关文件执行。</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有关破格要求：</w:t>
      </w:r>
      <w:r>
        <w:rPr>
          <w:rFonts w:ascii="Arial" w:hAnsi="Arial" w:cs="Arial"/>
          <w:sz w:val="21"/>
          <w:szCs w:val="21"/>
        </w:rPr>
        <w:t>对未达到学历或任职年限条件，但在项目、获奖、论文等若干方面有突破性业绩，满足下列条件之二者，可申请破格申报教授专业技术职务；满足下列条件之一者，可申请破格申报副教授专业技术职务：</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lastRenderedPageBreak/>
        <w:t>      1</w:t>
      </w:r>
      <w:r>
        <w:rPr>
          <w:rFonts w:ascii="Arial" w:hAnsi="Arial" w:cs="Arial"/>
          <w:sz w:val="21"/>
          <w:szCs w:val="21"/>
        </w:rPr>
        <w:t>、主持国家级科研项目</w:t>
      </w:r>
      <w:r>
        <w:rPr>
          <w:rFonts w:ascii="Arial" w:hAnsi="Arial" w:cs="Arial"/>
          <w:sz w:val="21"/>
          <w:szCs w:val="21"/>
        </w:rPr>
        <w:t>1</w:t>
      </w:r>
      <w:r>
        <w:rPr>
          <w:rFonts w:ascii="Arial" w:hAnsi="Arial" w:cs="Arial"/>
          <w:sz w:val="21"/>
          <w:szCs w:val="21"/>
        </w:rPr>
        <w:t>项及以上；</w:t>
      </w:r>
      <w:r>
        <w:rPr>
          <w:rFonts w:ascii="Arial" w:hAnsi="Arial" w:cs="Arial"/>
          <w:sz w:val="21"/>
          <w:szCs w:val="21"/>
        </w:rPr>
        <w:t xml:space="preserve"> </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2</w:t>
      </w:r>
      <w:r>
        <w:rPr>
          <w:rFonts w:ascii="Arial" w:hAnsi="Arial" w:cs="Arial"/>
          <w:sz w:val="21"/>
          <w:szCs w:val="21"/>
        </w:rPr>
        <w:t>、作为第一作者在权威期刊（浙江大学国内学术期刊名录最新版）或在</w:t>
      </w:r>
      <w:r>
        <w:rPr>
          <w:rFonts w:ascii="Arial" w:hAnsi="Arial" w:cs="Arial"/>
          <w:sz w:val="21"/>
          <w:szCs w:val="21"/>
        </w:rPr>
        <w:t>SCI</w:t>
      </w:r>
      <w:r>
        <w:rPr>
          <w:rFonts w:ascii="Arial" w:hAnsi="Arial" w:cs="Arial"/>
          <w:sz w:val="21"/>
          <w:szCs w:val="21"/>
        </w:rPr>
        <w:t>分区第一区规定的期刊上发表本专业学术论文</w:t>
      </w:r>
      <w:r>
        <w:rPr>
          <w:rFonts w:ascii="Arial" w:hAnsi="Arial" w:cs="Arial"/>
          <w:sz w:val="21"/>
          <w:szCs w:val="21"/>
        </w:rPr>
        <w:t>1</w:t>
      </w:r>
      <w:r>
        <w:rPr>
          <w:rFonts w:ascii="Arial" w:hAnsi="Arial" w:cs="Arial"/>
          <w:sz w:val="21"/>
          <w:szCs w:val="21"/>
        </w:rPr>
        <w:t>篇及以上；</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3</w:t>
      </w:r>
      <w:r>
        <w:rPr>
          <w:rFonts w:ascii="Arial" w:hAnsi="Arial" w:cs="Arial"/>
          <w:sz w:val="21"/>
          <w:szCs w:val="21"/>
        </w:rPr>
        <w:t>、主持的科研成果获省部级奖</w:t>
      </w:r>
      <w:r>
        <w:rPr>
          <w:rFonts w:ascii="Arial" w:hAnsi="Arial" w:cs="Arial"/>
          <w:sz w:val="21"/>
          <w:szCs w:val="21"/>
        </w:rPr>
        <w:t>1</w:t>
      </w:r>
      <w:r>
        <w:rPr>
          <w:rFonts w:ascii="Arial" w:hAnsi="Arial" w:cs="Arial"/>
          <w:sz w:val="21"/>
          <w:szCs w:val="21"/>
        </w:rPr>
        <w:t>项及以上。</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符合相关文件的特殊学科专业可适当放宽业绩条件。</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除从海外引进的高层次人才外，高校教师及其他专业技术人员一般不予越级申报，一般不得以学历、</w:t>
      </w:r>
      <w:proofErr w:type="gramStart"/>
      <w:r>
        <w:rPr>
          <w:rFonts w:ascii="Arial" w:hAnsi="Arial" w:cs="Arial"/>
          <w:sz w:val="21"/>
          <w:szCs w:val="21"/>
        </w:rPr>
        <w:t>年限双</w:t>
      </w:r>
      <w:proofErr w:type="gramEnd"/>
      <w:r>
        <w:rPr>
          <w:rFonts w:ascii="Arial" w:hAnsi="Arial" w:cs="Arial"/>
          <w:sz w:val="21"/>
          <w:szCs w:val="21"/>
        </w:rPr>
        <w:t>破格申报高级职务任职资格，且一般年限仅能破一年。</w:t>
      </w:r>
      <w:r>
        <w:rPr>
          <w:rFonts w:ascii="Arial" w:hAnsi="Arial" w:cs="Arial"/>
          <w:sz w:val="21"/>
          <w:szCs w:val="21"/>
        </w:rPr>
        <w:t> </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六、评聘机构</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根据上级要求，学校将建立相应的院系（所在单位）考核推荐组、学科评议组、校评聘委员会。</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1</w:t>
      </w:r>
      <w:r>
        <w:rPr>
          <w:rFonts w:ascii="Arial" w:hAnsi="Arial" w:cs="Arial"/>
          <w:sz w:val="21"/>
          <w:szCs w:val="21"/>
        </w:rPr>
        <w:t>、院系考核推荐组：由学院领导班子成员和院学术（教学）委员会成员组成，负责对申报高级专业技术职务人员全方位考核，并根据考核结果进行排序推荐。对申报中级专业技术职务人员由学院直接进行推荐。</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2</w:t>
      </w:r>
      <w:r>
        <w:rPr>
          <w:rFonts w:ascii="Arial" w:hAnsi="Arial" w:cs="Arial"/>
          <w:sz w:val="21"/>
          <w:szCs w:val="21"/>
        </w:rPr>
        <w:t>、学科评议组：原则上参照上级一级学科或专业门类组建，同时兼顾当年各学科申报人员实际情况组建相应评议组，负责对应聘人员的学术水平和技能进行评议，提出推荐意见。一般不少于</w:t>
      </w:r>
      <w:r>
        <w:rPr>
          <w:rFonts w:ascii="Arial" w:hAnsi="Arial" w:cs="Arial"/>
          <w:b/>
          <w:bCs/>
          <w:sz w:val="21"/>
          <w:szCs w:val="21"/>
        </w:rPr>
        <w:t>5</w:t>
      </w:r>
      <w:r>
        <w:rPr>
          <w:rFonts w:ascii="Arial" w:hAnsi="Arial" w:cs="Arial"/>
          <w:sz w:val="21"/>
          <w:szCs w:val="21"/>
        </w:rPr>
        <w:t>人，且有一定比例的校外专家。学科评议组成员由学校从专家库中抽取，负责对推荐对象的学术技术水平、能力进行专业评议，提出评议意见，作为教师专业技术职务评聘的依据之一。</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3</w:t>
      </w:r>
      <w:r>
        <w:rPr>
          <w:rFonts w:ascii="Arial" w:hAnsi="Arial" w:cs="Arial"/>
          <w:sz w:val="21"/>
          <w:szCs w:val="21"/>
        </w:rPr>
        <w:t>、成立浙江树人大学专业技术职务评聘委员会，负责全校教师等系列专业技术职务评聘工作。</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lastRenderedPageBreak/>
        <w:t xml:space="preserve">      </w:t>
      </w:r>
      <w:r>
        <w:rPr>
          <w:rStyle w:val="a5"/>
          <w:rFonts w:ascii="Arial" w:hAnsi="Arial" w:cs="Arial"/>
          <w:sz w:val="21"/>
          <w:szCs w:val="21"/>
        </w:rPr>
        <w:t>七、评聘程序及要求</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1</w:t>
      </w:r>
      <w:r>
        <w:rPr>
          <w:rFonts w:ascii="Arial" w:hAnsi="Arial" w:cs="Arial"/>
          <w:sz w:val="21"/>
          <w:szCs w:val="21"/>
        </w:rPr>
        <w:t>、学校制定并公布当年度专业技术职务评聘计划。</w:t>
      </w:r>
      <w:r>
        <w:rPr>
          <w:rFonts w:ascii="Arial" w:hAnsi="Arial" w:cs="Arial"/>
          <w:sz w:val="21"/>
          <w:szCs w:val="21"/>
        </w:rPr>
        <w:t xml:space="preserve"> </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2</w:t>
      </w:r>
      <w:r>
        <w:rPr>
          <w:rFonts w:ascii="Arial" w:hAnsi="Arial" w:cs="Arial"/>
          <w:sz w:val="21"/>
          <w:szCs w:val="21"/>
        </w:rPr>
        <w:t>、个人申报。专业技术人员按照上级和学校当年专业技术职务评聘规定要求参加相关培训，填报相应材料，向所在二级学院（部门）提交申报材料。</w:t>
      </w:r>
      <w:r>
        <w:rPr>
          <w:rFonts w:ascii="Arial" w:hAnsi="Arial" w:cs="Arial"/>
          <w:sz w:val="21"/>
          <w:szCs w:val="21"/>
        </w:rPr>
        <w:t xml:space="preserve"> </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3</w:t>
      </w:r>
      <w:r>
        <w:rPr>
          <w:rFonts w:ascii="Arial" w:hAnsi="Arial" w:cs="Arial"/>
          <w:sz w:val="21"/>
          <w:szCs w:val="21"/>
        </w:rPr>
        <w:t>、申报资格审查与材料审核。</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4</w:t>
      </w:r>
      <w:r>
        <w:rPr>
          <w:rFonts w:ascii="Arial" w:hAnsi="Arial" w:cs="Arial"/>
          <w:sz w:val="21"/>
          <w:szCs w:val="21"/>
        </w:rPr>
        <w:t>、论文送审。</w:t>
      </w:r>
      <w:r>
        <w:rPr>
          <w:rFonts w:ascii="Arial" w:hAnsi="Arial" w:cs="Arial"/>
          <w:sz w:val="21"/>
          <w:szCs w:val="21"/>
        </w:rPr>
        <w:t xml:space="preserve"> </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5      </w:t>
      </w:r>
      <w:r>
        <w:rPr>
          <w:rFonts w:ascii="Arial" w:hAnsi="Arial" w:cs="Arial"/>
          <w:sz w:val="21"/>
          <w:szCs w:val="21"/>
        </w:rPr>
        <w:t>、二级单位评议推荐。各二级单位组织召开考核推荐会，可采用专家评议、个人答辩等多种方式，综合评议申报人员的工作业绩和发展潜力，经无记名票决方式，决定是否予以推荐，并对获得推荐人员按得票高低进行排序。各二级单位的评议推荐结果和参评材料在二级单位内公示</w:t>
      </w:r>
      <w:r>
        <w:rPr>
          <w:rFonts w:ascii="Arial" w:hAnsi="Arial" w:cs="Arial"/>
          <w:sz w:val="21"/>
          <w:szCs w:val="21"/>
        </w:rPr>
        <w:t>5</w:t>
      </w:r>
      <w:r>
        <w:rPr>
          <w:rFonts w:ascii="Arial" w:hAnsi="Arial" w:cs="Arial"/>
          <w:sz w:val="21"/>
          <w:szCs w:val="21"/>
        </w:rPr>
        <w:t>个工作日，公示无异议，将评议推荐结果报送人事组织处。</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6</w:t>
      </w:r>
      <w:r>
        <w:rPr>
          <w:rFonts w:ascii="Arial" w:hAnsi="Arial" w:cs="Arial"/>
          <w:sz w:val="21"/>
          <w:szCs w:val="21"/>
        </w:rPr>
        <w:t>、学校组织召开专业技术职务评审学科评议组会议，对相应参评人员进行评议推荐。组建评议组有困难的学科，可委托学科力量强的高校或采取通信评议方式进行。</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7</w:t>
      </w:r>
      <w:r>
        <w:rPr>
          <w:rFonts w:ascii="Arial" w:hAnsi="Arial" w:cs="Arial"/>
          <w:sz w:val="21"/>
          <w:szCs w:val="21"/>
        </w:rPr>
        <w:t>、学校组织召开专业技术职务评聘委员会会议，对相应参评人员进行评聘。评聘委员会由校领导、学术委员会代表、院系和相关职能部门负责人、教师代表以及校外专家组成。</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8</w:t>
      </w:r>
      <w:r>
        <w:rPr>
          <w:rFonts w:ascii="Arial" w:hAnsi="Arial" w:cs="Arial"/>
          <w:sz w:val="21"/>
          <w:szCs w:val="21"/>
        </w:rPr>
        <w:t>、评聘结果在全校范围内进行评后公示</w:t>
      </w:r>
      <w:r>
        <w:rPr>
          <w:rFonts w:ascii="Arial" w:hAnsi="Arial" w:cs="Arial"/>
          <w:sz w:val="21"/>
          <w:szCs w:val="21"/>
        </w:rPr>
        <w:t>7</w:t>
      </w:r>
      <w:r>
        <w:rPr>
          <w:rFonts w:ascii="Arial" w:hAnsi="Arial" w:cs="Arial"/>
          <w:sz w:val="21"/>
          <w:szCs w:val="21"/>
        </w:rPr>
        <w:t>个工作日。公示无异议，报送上级主管部门。</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八、评聘方法</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各院系考核评议组、学科评议组根据申报人的资格、业绩等情况进行评议，并</w:t>
      </w:r>
      <w:proofErr w:type="gramStart"/>
      <w:r>
        <w:rPr>
          <w:rFonts w:ascii="Arial" w:hAnsi="Arial" w:cs="Arial"/>
          <w:sz w:val="21"/>
          <w:szCs w:val="21"/>
        </w:rPr>
        <w:t>作出</w:t>
      </w:r>
      <w:proofErr w:type="gramEnd"/>
      <w:r>
        <w:rPr>
          <w:rFonts w:ascii="Arial" w:hAnsi="Arial" w:cs="Arial"/>
          <w:sz w:val="21"/>
          <w:szCs w:val="21"/>
        </w:rPr>
        <w:t>排序。在学校专业技术职务评聘委员会上，对不同专业技术职务等级采用不同的评聘方法：</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lastRenderedPageBreak/>
        <w:t>      1</w:t>
      </w:r>
      <w:r>
        <w:rPr>
          <w:rFonts w:ascii="Arial" w:hAnsi="Arial" w:cs="Arial"/>
          <w:sz w:val="21"/>
          <w:szCs w:val="21"/>
        </w:rPr>
        <w:t>、评聘正高专业技术职务，在学校当年总的名额内，各教学单位名额打通使用，其中对正高比例严重超标单位进行限额，最多评聘</w:t>
      </w:r>
      <w:r>
        <w:rPr>
          <w:rFonts w:ascii="Arial" w:hAnsi="Arial" w:cs="Arial"/>
          <w:sz w:val="21"/>
          <w:szCs w:val="21"/>
        </w:rPr>
        <w:t>1</w:t>
      </w:r>
      <w:r>
        <w:rPr>
          <w:rFonts w:ascii="Arial" w:hAnsi="Arial" w:cs="Arial"/>
          <w:sz w:val="21"/>
          <w:szCs w:val="21"/>
        </w:rPr>
        <w:t>人。</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2</w:t>
      </w:r>
      <w:r>
        <w:rPr>
          <w:rFonts w:ascii="Arial" w:hAnsi="Arial" w:cs="Arial"/>
          <w:sz w:val="21"/>
          <w:szCs w:val="21"/>
        </w:rPr>
        <w:t>、</w:t>
      </w:r>
      <w:proofErr w:type="gramStart"/>
      <w:r>
        <w:rPr>
          <w:rFonts w:ascii="Arial" w:hAnsi="Arial" w:cs="Arial"/>
          <w:sz w:val="21"/>
          <w:szCs w:val="21"/>
        </w:rPr>
        <w:t>评聘副</w:t>
      </w:r>
      <w:proofErr w:type="gramEnd"/>
      <w:r>
        <w:rPr>
          <w:rFonts w:ascii="Arial" w:hAnsi="Arial" w:cs="Arial"/>
          <w:sz w:val="21"/>
          <w:szCs w:val="21"/>
        </w:rPr>
        <w:t>高专业技术职务，其中超编单位最多只能评聘一人，且全校超编单位总录取数不超过评聘名额的</w:t>
      </w:r>
      <w:r>
        <w:rPr>
          <w:rFonts w:ascii="Arial" w:hAnsi="Arial" w:cs="Arial"/>
          <w:sz w:val="21"/>
          <w:szCs w:val="21"/>
        </w:rPr>
        <w:t>50%</w:t>
      </w:r>
      <w:r>
        <w:rPr>
          <w:rFonts w:ascii="Arial" w:hAnsi="Arial" w:cs="Arial"/>
          <w:sz w:val="21"/>
          <w:szCs w:val="21"/>
        </w:rPr>
        <w:t>。</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3</w:t>
      </w:r>
      <w:r>
        <w:rPr>
          <w:rFonts w:ascii="Arial" w:hAnsi="Arial" w:cs="Arial"/>
          <w:sz w:val="21"/>
          <w:szCs w:val="21"/>
        </w:rPr>
        <w:t>、评聘中级专业技术职务，原则上不进行名额限制，主要依据业绩条件。</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学校实行限额评聘，适当向重点学科（平台、专业等）和紧缺学科（专业等）倾斜。</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九、评聘纪律</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1</w:t>
      </w:r>
      <w:r>
        <w:rPr>
          <w:rFonts w:ascii="Arial" w:hAnsi="Arial" w:cs="Arial"/>
          <w:sz w:val="21"/>
          <w:szCs w:val="21"/>
        </w:rPr>
        <w:t>、根据教育部《关于加强学术道德建设的若干意见的通知》（教人〔</w:t>
      </w:r>
      <w:r>
        <w:rPr>
          <w:rFonts w:ascii="Arial" w:hAnsi="Arial" w:cs="Arial"/>
          <w:sz w:val="21"/>
          <w:szCs w:val="21"/>
        </w:rPr>
        <w:t>2002</w:t>
      </w:r>
      <w:r>
        <w:rPr>
          <w:rFonts w:ascii="Arial" w:hAnsi="Arial" w:cs="Arial"/>
          <w:sz w:val="21"/>
          <w:szCs w:val="21"/>
        </w:rPr>
        <w:t>〕</w:t>
      </w:r>
      <w:r>
        <w:rPr>
          <w:rFonts w:ascii="Arial" w:hAnsi="Arial" w:cs="Arial"/>
          <w:sz w:val="21"/>
          <w:szCs w:val="21"/>
        </w:rPr>
        <w:t>4</w:t>
      </w:r>
      <w:r>
        <w:rPr>
          <w:rFonts w:ascii="Arial" w:hAnsi="Arial" w:cs="Arial"/>
          <w:sz w:val="21"/>
          <w:szCs w:val="21"/>
        </w:rPr>
        <w:t>号）和《关于严肃处理高等学校学术不端行为的通知》（教社科〔</w:t>
      </w:r>
      <w:r>
        <w:rPr>
          <w:rFonts w:ascii="Arial" w:hAnsi="Arial" w:cs="Arial"/>
          <w:sz w:val="21"/>
          <w:szCs w:val="21"/>
        </w:rPr>
        <w:t>2009</w:t>
      </w:r>
      <w:r>
        <w:rPr>
          <w:rFonts w:ascii="Arial" w:hAnsi="Arial" w:cs="Arial"/>
          <w:sz w:val="21"/>
          <w:szCs w:val="21"/>
        </w:rPr>
        <w:t>〕</w:t>
      </w:r>
      <w:r>
        <w:rPr>
          <w:rFonts w:ascii="Arial" w:hAnsi="Arial" w:cs="Arial"/>
          <w:sz w:val="21"/>
          <w:szCs w:val="21"/>
        </w:rPr>
        <w:t>3</w:t>
      </w:r>
      <w:r>
        <w:rPr>
          <w:rFonts w:ascii="Arial" w:hAnsi="Arial" w:cs="Arial"/>
          <w:sz w:val="21"/>
          <w:szCs w:val="21"/>
        </w:rPr>
        <w:t>号）文件要求，进一步规范学术纪律，在专业技术职务评聘工作中严格执行</w:t>
      </w:r>
      <w:r>
        <w:rPr>
          <w:rFonts w:ascii="Arial" w:hAnsi="Arial" w:cs="Arial"/>
          <w:sz w:val="21"/>
          <w:szCs w:val="21"/>
        </w:rPr>
        <w:t>“</w:t>
      </w:r>
      <w:r>
        <w:rPr>
          <w:rFonts w:ascii="Arial" w:hAnsi="Arial" w:cs="Arial"/>
          <w:sz w:val="21"/>
          <w:szCs w:val="21"/>
        </w:rPr>
        <w:t>师德、学风一票否决制</w:t>
      </w:r>
      <w:r>
        <w:rPr>
          <w:rFonts w:ascii="Arial" w:hAnsi="Arial" w:cs="Arial"/>
          <w:sz w:val="21"/>
          <w:szCs w:val="21"/>
        </w:rPr>
        <w:t>”</w:t>
      </w:r>
      <w:r>
        <w:rPr>
          <w:rFonts w:ascii="Arial" w:hAnsi="Arial" w:cs="Arial"/>
          <w:sz w:val="21"/>
          <w:szCs w:val="21"/>
        </w:rPr>
        <w:t>。</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2</w:t>
      </w:r>
      <w:r>
        <w:rPr>
          <w:rFonts w:ascii="Arial" w:hAnsi="Arial" w:cs="Arial"/>
          <w:sz w:val="21"/>
          <w:szCs w:val="21"/>
        </w:rPr>
        <w:t>、加大审核监督力度，严防学术不端行为。为进一步规范高校教师的学术行为，申请专业技术职务所填报的论文（国外刊物发表的除外），均须提交学术不端文献检测报告。</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3</w:t>
      </w:r>
      <w:r>
        <w:rPr>
          <w:rFonts w:ascii="Arial" w:hAnsi="Arial" w:cs="Arial"/>
          <w:sz w:val="21"/>
          <w:szCs w:val="21"/>
        </w:rPr>
        <w:t>、强化公示环节，切实提高专业技术职务评聘工作透明度。对申报者的申报资格、申报材料进行评前公示，对评聘结果进行评后公示，公示期不少于</w:t>
      </w:r>
      <w:r>
        <w:rPr>
          <w:rFonts w:ascii="Arial" w:hAnsi="Arial" w:cs="Arial"/>
          <w:sz w:val="21"/>
          <w:szCs w:val="21"/>
        </w:rPr>
        <w:t>7</w:t>
      </w:r>
      <w:r>
        <w:rPr>
          <w:rFonts w:ascii="Arial" w:hAnsi="Arial" w:cs="Arial"/>
          <w:sz w:val="21"/>
          <w:szCs w:val="21"/>
        </w:rPr>
        <w:t>个工作日。对公示中反映的问题，将会同纪检监察部门调查核实，及时</w:t>
      </w:r>
      <w:proofErr w:type="gramStart"/>
      <w:r>
        <w:rPr>
          <w:rFonts w:ascii="Arial" w:hAnsi="Arial" w:cs="Arial"/>
          <w:sz w:val="21"/>
          <w:szCs w:val="21"/>
        </w:rPr>
        <w:t>作出</w:t>
      </w:r>
      <w:proofErr w:type="gramEnd"/>
      <w:r>
        <w:rPr>
          <w:rFonts w:ascii="Arial" w:hAnsi="Arial" w:cs="Arial"/>
          <w:sz w:val="21"/>
          <w:szCs w:val="21"/>
        </w:rPr>
        <w:t>结论或进行处理。</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4</w:t>
      </w:r>
      <w:r>
        <w:rPr>
          <w:rFonts w:ascii="Arial" w:hAnsi="Arial" w:cs="Arial"/>
          <w:sz w:val="21"/>
          <w:szCs w:val="21"/>
        </w:rPr>
        <w:t>、严肃评聘纪律，努力营造公平、公正的评聘环境。对弄虚作假、营私舞弊者，取消当年申报资格或已取得的专业技术职务，从次年起</w:t>
      </w:r>
      <w:r>
        <w:rPr>
          <w:rFonts w:ascii="Arial" w:hAnsi="Arial" w:cs="Arial"/>
          <w:sz w:val="21"/>
          <w:szCs w:val="21"/>
        </w:rPr>
        <w:t>3</w:t>
      </w:r>
      <w:r>
        <w:rPr>
          <w:rFonts w:ascii="Arial" w:hAnsi="Arial" w:cs="Arial"/>
          <w:sz w:val="21"/>
          <w:szCs w:val="21"/>
        </w:rPr>
        <w:t>年内不得申报专业技术职务，并在一定范围内进行通报；对参与专业技术职务评聘各个环节的工作人员，如与上述作假、舞弊行为有关，将予以严肃处理，触犯国家法律的，移送司法机关处理。</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十、评聘相关政策说明</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lastRenderedPageBreak/>
        <w:t>      1</w:t>
      </w:r>
      <w:r>
        <w:rPr>
          <w:rFonts w:ascii="Arial" w:hAnsi="Arial" w:cs="Arial"/>
          <w:sz w:val="21"/>
          <w:szCs w:val="21"/>
        </w:rPr>
        <w:t>、坚持同行评价、分类评价、综合评价相结合，促进评价与使用有机融合，鼓励教师安心教学、科研与管理，实现个性化发展。根据学校的实际现状，</w:t>
      </w:r>
      <w:r>
        <w:rPr>
          <w:rFonts w:ascii="Arial" w:hAnsi="Arial" w:cs="Arial"/>
          <w:sz w:val="21"/>
          <w:szCs w:val="21"/>
        </w:rPr>
        <w:t>2015</w:t>
      </w:r>
      <w:r>
        <w:rPr>
          <w:rFonts w:ascii="Arial" w:hAnsi="Arial" w:cs="Arial"/>
          <w:sz w:val="21"/>
          <w:szCs w:val="21"/>
        </w:rPr>
        <w:t>年我校实行教学科研并重型、教学为主型教师的申报，科研型和社会推广</w:t>
      </w:r>
      <w:proofErr w:type="gramStart"/>
      <w:r>
        <w:rPr>
          <w:rFonts w:ascii="Arial" w:hAnsi="Arial" w:cs="Arial"/>
          <w:sz w:val="21"/>
          <w:szCs w:val="21"/>
        </w:rPr>
        <w:t>型教师</w:t>
      </w:r>
      <w:proofErr w:type="gramEnd"/>
      <w:r>
        <w:rPr>
          <w:rFonts w:ascii="Arial" w:hAnsi="Arial" w:cs="Arial"/>
          <w:sz w:val="21"/>
          <w:szCs w:val="21"/>
        </w:rPr>
        <w:t>暂不实行。教学为主型教师职务评聘原则上面向一线专任教学为主型教师，任期一届之内符合评聘条件的双肩挑人员也可申报。</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2</w:t>
      </w:r>
      <w:r>
        <w:rPr>
          <w:rFonts w:ascii="Arial" w:hAnsi="Arial" w:cs="Arial"/>
          <w:sz w:val="21"/>
          <w:szCs w:val="21"/>
        </w:rPr>
        <w:t>、根据上级文件精神，事业单位专业技术人员一般应当逐级晋升，业绩突出者可允许越级申报。</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3</w:t>
      </w:r>
      <w:r>
        <w:rPr>
          <w:rFonts w:ascii="Arial" w:hAnsi="Arial" w:cs="Arial"/>
          <w:sz w:val="21"/>
          <w:szCs w:val="21"/>
        </w:rPr>
        <w:t>、连续两年</w:t>
      </w:r>
      <w:proofErr w:type="gramStart"/>
      <w:r>
        <w:rPr>
          <w:rFonts w:ascii="Arial" w:hAnsi="Arial" w:cs="Arial"/>
          <w:sz w:val="21"/>
          <w:szCs w:val="21"/>
        </w:rPr>
        <w:t>评聘未</w:t>
      </w:r>
      <w:proofErr w:type="gramEnd"/>
      <w:r>
        <w:rPr>
          <w:rFonts w:ascii="Arial" w:hAnsi="Arial" w:cs="Arial"/>
          <w:sz w:val="21"/>
          <w:szCs w:val="21"/>
        </w:rPr>
        <w:t>通过人员，今年仍可申报，但申报时必须在前一次评聘的基础</w:t>
      </w:r>
      <w:proofErr w:type="gramStart"/>
      <w:r>
        <w:rPr>
          <w:rFonts w:ascii="Arial" w:hAnsi="Arial" w:cs="Arial"/>
          <w:sz w:val="21"/>
          <w:szCs w:val="21"/>
        </w:rPr>
        <w:t>上业绩</w:t>
      </w:r>
      <w:proofErr w:type="gramEnd"/>
      <w:r>
        <w:rPr>
          <w:rFonts w:ascii="Arial" w:hAnsi="Arial" w:cs="Arial"/>
          <w:sz w:val="21"/>
          <w:szCs w:val="21"/>
        </w:rPr>
        <w:t>有较明显的提升。</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4</w:t>
      </w:r>
      <w:r>
        <w:rPr>
          <w:rFonts w:ascii="Arial" w:hAnsi="Arial" w:cs="Arial"/>
          <w:sz w:val="21"/>
          <w:szCs w:val="21"/>
        </w:rPr>
        <w:t>、对于国外取得博士学位或博士后（无工作经历）申报专业技术职务的，原则上参照国内同类人员的晋升政策。从国（境）外引进的高层次人才，自引进之年度起，</w:t>
      </w:r>
      <w:r>
        <w:rPr>
          <w:rFonts w:ascii="Arial" w:hAnsi="Arial" w:cs="Arial"/>
          <w:sz w:val="21"/>
          <w:szCs w:val="21"/>
        </w:rPr>
        <w:t>3</w:t>
      </w:r>
      <w:r>
        <w:rPr>
          <w:rFonts w:ascii="Arial" w:hAnsi="Arial" w:cs="Arial"/>
          <w:sz w:val="21"/>
          <w:szCs w:val="21"/>
        </w:rPr>
        <w:t>年内可直接申报相应专业技术职务，</w:t>
      </w:r>
      <w:r>
        <w:rPr>
          <w:rFonts w:ascii="Arial" w:hAnsi="Arial" w:cs="Arial"/>
          <w:sz w:val="21"/>
          <w:szCs w:val="21"/>
        </w:rPr>
        <w:t>3</w:t>
      </w:r>
      <w:r>
        <w:rPr>
          <w:rFonts w:ascii="Arial" w:hAnsi="Arial" w:cs="Arial"/>
          <w:sz w:val="21"/>
          <w:szCs w:val="21"/>
        </w:rPr>
        <w:t>年后按正常程序、条件申报。</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5</w:t>
      </w:r>
      <w:r>
        <w:rPr>
          <w:rFonts w:ascii="Arial" w:hAnsi="Arial" w:cs="Arial"/>
          <w:sz w:val="21"/>
          <w:szCs w:val="21"/>
        </w:rPr>
        <w:t>、规范高校教师专业发展规范的考核。</w:t>
      </w:r>
      <w:proofErr w:type="gramStart"/>
      <w:r>
        <w:rPr>
          <w:rFonts w:ascii="Arial" w:hAnsi="Arial" w:cs="Arial"/>
          <w:sz w:val="21"/>
          <w:szCs w:val="21"/>
        </w:rPr>
        <w:t>根据浙教办</w:t>
      </w:r>
      <w:proofErr w:type="gramEnd"/>
      <w:r>
        <w:rPr>
          <w:rFonts w:ascii="Arial" w:hAnsi="Arial" w:cs="Arial"/>
          <w:sz w:val="21"/>
          <w:szCs w:val="21"/>
        </w:rPr>
        <w:t>高科〔</w:t>
      </w:r>
      <w:r>
        <w:rPr>
          <w:rFonts w:ascii="Arial" w:hAnsi="Arial" w:cs="Arial"/>
          <w:sz w:val="21"/>
          <w:szCs w:val="21"/>
        </w:rPr>
        <w:t>2013</w:t>
      </w:r>
      <w:r>
        <w:rPr>
          <w:rFonts w:ascii="Arial" w:hAnsi="Arial" w:cs="Arial"/>
          <w:sz w:val="21"/>
          <w:szCs w:val="21"/>
        </w:rPr>
        <w:t>〕</w:t>
      </w:r>
      <w:r>
        <w:rPr>
          <w:rFonts w:ascii="Arial" w:hAnsi="Arial" w:cs="Arial"/>
          <w:sz w:val="21"/>
          <w:szCs w:val="21"/>
        </w:rPr>
        <w:t>39</w:t>
      </w:r>
      <w:r>
        <w:rPr>
          <w:rFonts w:ascii="Arial" w:hAnsi="Arial" w:cs="Arial"/>
          <w:sz w:val="21"/>
          <w:szCs w:val="21"/>
        </w:rPr>
        <w:t>号精神，严格执行青年教师助讲培养制度和五年一周期的全员培训工作，推行培训学时学分制度。博士或硕士研究生毕业后第一次申报教师高级专业技术职务要有一学期以上助教经历。</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6</w:t>
      </w:r>
      <w:r>
        <w:rPr>
          <w:rFonts w:ascii="Arial" w:hAnsi="Arial" w:cs="Arial"/>
          <w:sz w:val="21"/>
          <w:szCs w:val="21"/>
        </w:rPr>
        <w:t>、注重教学与科学研究成果实践应用的考核。对于教学、科研项目注重考核研究成果转化与实际运用。厅级及横向项目需结题才能申报，所有项目研究成果必须提交结题报告、成果运用证明或阶段性成果（省部级以上课题）。</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7</w:t>
      </w:r>
      <w:r>
        <w:rPr>
          <w:rFonts w:ascii="Arial" w:hAnsi="Arial" w:cs="Arial"/>
          <w:sz w:val="21"/>
          <w:szCs w:val="21"/>
        </w:rPr>
        <w:t>、进一步规范申报论文的要求。对于一些虽未公开发表或在国际会议上提交的被</w:t>
      </w:r>
      <w:r>
        <w:rPr>
          <w:rFonts w:ascii="Arial" w:hAnsi="Arial" w:cs="Arial"/>
          <w:sz w:val="21"/>
          <w:szCs w:val="21"/>
        </w:rPr>
        <w:t>EI</w:t>
      </w:r>
      <w:r>
        <w:rPr>
          <w:rFonts w:ascii="Arial" w:hAnsi="Arial" w:cs="Arial"/>
          <w:sz w:val="21"/>
          <w:szCs w:val="21"/>
        </w:rPr>
        <w:t>、</w:t>
      </w:r>
      <w:r>
        <w:rPr>
          <w:rFonts w:ascii="Arial" w:hAnsi="Arial" w:cs="Arial"/>
          <w:sz w:val="21"/>
          <w:szCs w:val="21"/>
        </w:rPr>
        <w:t>ISTP</w:t>
      </w:r>
      <w:r>
        <w:rPr>
          <w:rFonts w:ascii="Arial" w:hAnsi="Arial" w:cs="Arial"/>
          <w:sz w:val="21"/>
          <w:szCs w:val="21"/>
        </w:rPr>
        <w:t>（</w:t>
      </w:r>
      <w:r>
        <w:rPr>
          <w:rFonts w:ascii="Arial" w:hAnsi="Arial" w:cs="Arial"/>
          <w:sz w:val="21"/>
          <w:szCs w:val="21"/>
        </w:rPr>
        <w:t>CPCI—S</w:t>
      </w:r>
      <w:r>
        <w:rPr>
          <w:rFonts w:ascii="Arial" w:hAnsi="Arial" w:cs="Arial"/>
          <w:sz w:val="21"/>
          <w:szCs w:val="21"/>
        </w:rPr>
        <w:t>）、</w:t>
      </w:r>
      <w:r>
        <w:rPr>
          <w:rFonts w:ascii="Arial" w:hAnsi="Arial" w:cs="Arial"/>
          <w:sz w:val="21"/>
          <w:szCs w:val="21"/>
        </w:rPr>
        <w:t>ISSHP</w:t>
      </w:r>
      <w:r>
        <w:rPr>
          <w:rFonts w:ascii="Arial" w:hAnsi="Arial" w:cs="Arial"/>
          <w:sz w:val="21"/>
          <w:szCs w:val="21"/>
        </w:rPr>
        <w:t>（</w:t>
      </w:r>
      <w:r>
        <w:rPr>
          <w:rFonts w:ascii="Arial" w:hAnsi="Arial" w:cs="Arial"/>
          <w:sz w:val="21"/>
          <w:szCs w:val="21"/>
        </w:rPr>
        <w:t>CPCI—SSH</w:t>
      </w:r>
      <w:r>
        <w:rPr>
          <w:rFonts w:ascii="Arial" w:hAnsi="Arial" w:cs="Arial"/>
          <w:sz w:val="21"/>
          <w:szCs w:val="21"/>
        </w:rPr>
        <w:t>）收录的论文，但经过</w:t>
      </w:r>
      <w:r>
        <w:rPr>
          <w:rFonts w:ascii="Arial" w:hAnsi="Arial" w:cs="Arial"/>
          <w:sz w:val="21"/>
          <w:szCs w:val="21"/>
        </w:rPr>
        <w:t>9</w:t>
      </w:r>
      <w:r>
        <w:rPr>
          <w:rFonts w:ascii="Arial" w:hAnsi="Arial" w:cs="Arial"/>
          <w:sz w:val="21"/>
          <w:szCs w:val="21"/>
        </w:rPr>
        <w:t>名以上校外同行专家严格评审确认为高水平专业研究成果的，可作为教师专业技术职务评聘的申报材料。</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lastRenderedPageBreak/>
        <w:t>      8</w:t>
      </w:r>
      <w:r>
        <w:rPr>
          <w:rFonts w:ascii="Arial" w:hAnsi="Arial" w:cs="Arial"/>
          <w:sz w:val="21"/>
          <w:szCs w:val="21"/>
        </w:rPr>
        <w:t>、继续实施学术不端检测制度。高校教师申请专业技术职务所填报的论文，须提交学术不端文献检测报告，其中以往经检测的原检测报告仍可继续使用。</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9</w:t>
      </w:r>
      <w:r>
        <w:rPr>
          <w:rFonts w:ascii="Arial" w:hAnsi="Arial" w:cs="Arial"/>
          <w:sz w:val="21"/>
          <w:szCs w:val="21"/>
        </w:rPr>
        <w:t>、获得博士学位且已担任两年及以上中级专业技术职务的人员申报副高级专业技术职务，在攻读博士学位期间取得的成果不得填入专业技术职务申报材料。此条款中所指博士不包括在职博士。原我校教师因攻读博士高校政策的原因必须脱产学习但实际仍在担任教学等任务</w:t>
      </w:r>
      <w:proofErr w:type="gramStart"/>
      <w:r>
        <w:rPr>
          <w:rFonts w:ascii="Arial" w:hAnsi="Arial" w:cs="Arial"/>
          <w:sz w:val="21"/>
          <w:szCs w:val="21"/>
        </w:rPr>
        <w:t>且毕业</w:t>
      </w:r>
      <w:proofErr w:type="gramEnd"/>
      <w:r>
        <w:rPr>
          <w:rFonts w:ascii="Arial" w:hAnsi="Arial" w:cs="Arial"/>
          <w:sz w:val="21"/>
          <w:szCs w:val="21"/>
        </w:rPr>
        <w:t>后继续回校工作的人员，其读</w:t>
      </w:r>
      <w:proofErr w:type="gramStart"/>
      <w:r>
        <w:rPr>
          <w:rFonts w:ascii="Arial" w:hAnsi="Arial" w:cs="Arial"/>
          <w:sz w:val="21"/>
          <w:szCs w:val="21"/>
        </w:rPr>
        <w:t>博期间</w:t>
      </w:r>
      <w:proofErr w:type="gramEnd"/>
      <w:r>
        <w:rPr>
          <w:rFonts w:ascii="Arial" w:hAnsi="Arial" w:cs="Arial"/>
          <w:sz w:val="21"/>
          <w:szCs w:val="21"/>
        </w:rPr>
        <w:t>的工作年限及科研业绩可予以认可。</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10</w:t>
      </w:r>
      <w:r>
        <w:rPr>
          <w:rFonts w:ascii="Arial" w:hAnsi="Arial" w:cs="Arial"/>
          <w:sz w:val="21"/>
          <w:szCs w:val="21"/>
        </w:rPr>
        <w:t>、教师兼行政管理人员可申报专业技术职务评聘，其学术评价由相关学科组负责，其工作评价及推荐由在其所在部门负责。</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11</w:t>
      </w:r>
      <w:r>
        <w:rPr>
          <w:rFonts w:ascii="Arial" w:hAnsi="Arial" w:cs="Arial"/>
          <w:sz w:val="21"/>
          <w:szCs w:val="21"/>
        </w:rPr>
        <w:t>、参加以考代评等各个系列专业技术职务评聘的人员，其职务</w:t>
      </w:r>
      <w:proofErr w:type="gramStart"/>
      <w:r>
        <w:rPr>
          <w:rFonts w:ascii="Arial" w:hAnsi="Arial" w:cs="Arial"/>
          <w:sz w:val="21"/>
          <w:szCs w:val="21"/>
        </w:rPr>
        <w:t>聘任按</w:t>
      </w:r>
      <w:proofErr w:type="gramEnd"/>
      <w:r>
        <w:rPr>
          <w:rFonts w:ascii="Arial" w:hAnsi="Arial" w:cs="Arial"/>
          <w:sz w:val="21"/>
          <w:szCs w:val="21"/>
        </w:rPr>
        <w:t>学校相关政策执行。</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12</w:t>
      </w:r>
      <w:r>
        <w:rPr>
          <w:rFonts w:ascii="Arial" w:hAnsi="Arial" w:cs="Arial"/>
          <w:sz w:val="21"/>
          <w:szCs w:val="21"/>
        </w:rPr>
        <w:t>、材料截止时间。高校教师申请专业技术职务所提交各类材料（包括各类资格性证书）的时间，统一为任现职以来至</w:t>
      </w:r>
      <w:r>
        <w:rPr>
          <w:rFonts w:ascii="Arial" w:hAnsi="Arial" w:cs="Arial"/>
          <w:sz w:val="21"/>
          <w:szCs w:val="21"/>
        </w:rPr>
        <w:t>2015</w:t>
      </w:r>
      <w:r>
        <w:rPr>
          <w:rFonts w:ascii="Arial" w:hAnsi="Arial" w:cs="Arial"/>
          <w:sz w:val="21"/>
          <w:szCs w:val="21"/>
        </w:rPr>
        <w:t>年</w:t>
      </w:r>
      <w:r>
        <w:rPr>
          <w:rFonts w:ascii="Arial" w:hAnsi="Arial" w:cs="Arial"/>
          <w:sz w:val="21"/>
          <w:szCs w:val="21"/>
        </w:rPr>
        <w:t>6</w:t>
      </w:r>
      <w:r>
        <w:rPr>
          <w:rFonts w:ascii="Arial" w:hAnsi="Arial" w:cs="Arial"/>
          <w:sz w:val="21"/>
          <w:szCs w:val="21"/>
        </w:rPr>
        <w:t>月</w:t>
      </w:r>
      <w:r>
        <w:rPr>
          <w:rFonts w:ascii="Arial" w:hAnsi="Arial" w:cs="Arial"/>
          <w:sz w:val="21"/>
          <w:szCs w:val="21"/>
        </w:rPr>
        <w:t>30</w:t>
      </w:r>
      <w:r>
        <w:rPr>
          <w:rFonts w:ascii="Arial" w:hAnsi="Arial" w:cs="Arial"/>
          <w:sz w:val="21"/>
          <w:szCs w:val="21"/>
        </w:rPr>
        <w:t>日，但外语和计算机证书可适当延迟至</w:t>
      </w:r>
      <w:r>
        <w:rPr>
          <w:rFonts w:ascii="Arial" w:hAnsi="Arial" w:cs="Arial"/>
          <w:sz w:val="21"/>
          <w:szCs w:val="21"/>
        </w:rPr>
        <w:t>8</w:t>
      </w:r>
      <w:r>
        <w:rPr>
          <w:rFonts w:ascii="Arial" w:hAnsi="Arial" w:cs="Arial"/>
          <w:sz w:val="21"/>
          <w:szCs w:val="21"/>
        </w:rPr>
        <w:t>月</w:t>
      </w:r>
      <w:r>
        <w:rPr>
          <w:rFonts w:ascii="Arial" w:hAnsi="Arial" w:cs="Arial"/>
          <w:sz w:val="21"/>
          <w:szCs w:val="21"/>
        </w:rPr>
        <w:t>31</w:t>
      </w:r>
      <w:r>
        <w:rPr>
          <w:rFonts w:ascii="Arial" w:hAnsi="Arial" w:cs="Arial"/>
          <w:sz w:val="21"/>
          <w:szCs w:val="21"/>
        </w:rPr>
        <w:t>日。委托教育厅以外主管部门评审的系列，业绩材料截止时间以主管部门文件要求为准。</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13</w:t>
      </w:r>
      <w:r>
        <w:rPr>
          <w:rFonts w:ascii="Arial" w:hAnsi="Arial" w:cs="Arial"/>
          <w:sz w:val="21"/>
          <w:szCs w:val="21"/>
        </w:rPr>
        <w:t>、其它申报条件仍按省</w:t>
      </w:r>
      <w:proofErr w:type="gramStart"/>
      <w:r>
        <w:rPr>
          <w:rFonts w:ascii="Arial" w:hAnsi="Arial" w:cs="Arial"/>
          <w:sz w:val="21"/>
          <w:szCs w:val="21"/>
        </w:rPr>
        <w:t>人社厅</w:t>
      </w:r>
      <w:proofErr w:type="gramEnd"/>
      <w:r>
        <w:rPr>
          <w:rFonts w:ascii="Arial" w:hAnsi="Arial" w:cs="Arial"/>
          <w:sz w:val="21"/>
          <w:szCs w:val="21"/>
        </w:rPr>
        <w:t>、省教育厅相关文件精神执行。</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十一、评审相关费用</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评审费和论文检测费由学校承担，论文专家鉴定费由申报者承担。</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Style w:val="a5"/>
          <w:rFonts w:ascii="Arial" w:hAnsi="Arial" w:cs="Arial"/>
          <w:sz w:val="21"/>
          <w:szCs w:val="21"/>
        </w:rPr>
        <w:t>十二、</w:t>
      </w:r>
      <w:proofErr w:type="gramStart"/>
      <w:r>
        <w:rPr>
          <w:rStyle w:val="a5"/>
          <w:rFonts w:ascii="Arial" w:hAnsi="Arial" w:cs="Arial"/>
          <w:sz w:val="21"/>
          <w:szCs w:val="21"/>
        </w:rPr>
        <w:t>评聘进程</w:t>
      </w:r>
      <w:proofErr w:type="gramEnd"/>
      <w:r>
        <w:rPr>
          <w:rStyle w:val="a5"/>
          <w:rFonts w:ascii="Arial" w:hAnsi="Arial" w:cs="Arial"/>
          <w:sz w:val="21"/>
          <w:szCs w:val="21"/>
        </w:rPr>
        <w:t>安排（见附件）</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xml:space="preserve">       </w:t>
      </w:r>
      <w:r>
        <w:rPr>
          <w:rFonts w:ascii="Arial" w:hAnsi="Arial" w:cs="Arial"/>
          <w:sz w:val="21"/>
          <w:szCs w:val="21"/>
        </w:rPr>
        <w:t>联系人：严伟伟、夏立芬</w:t>
      </w:r>
      <w:r>
        <w:rPr>
          <w:rFonts w:ascii="Arial" w:hAnsi="Arial" w:cs="Arial"/>
          <w:sz w:val="21"/>
          <w:szCs w:val="21"/>
        </w:rPr>
        <w:t xml:space="preserve">     </w:t>
      </w:r>
      <w:r>
        <w:rPr>
          <w:rFonts w:ascii="Arial" w:hAnsi="Arial" w:cs="Arial"/>
          <w:sz w:val="21"/>
          <w:szCs w:val="21"/>
        </w:rPr>
        <w:t>联系电话：</w:t>
      </w:r>
      <w:r>
        <w:rPr>
          <w:rFonts w:ascii="Arial" w:hAnsi="Arial" w:cs="Arial"/>
          <w:sz w:val="21"/>
          <w:szCs w:val="21"/>
        </w:rPr>
        <w:t>88297017</w:t>
      </w:r>
    </w:p>
    <w:p w:rsidR="00B269C7" w:rsidRDefault="00B269C7" w:rsidP="00B269C7">
      <w:pPr>
        <w:pStyle w:val="a6"/>
        <w:shd w:val="clear" w:color="auto" w:fill="F4F4F4"/>
        <w:spacing w:line="432" w:lineRule="auto"/>
        <w:rPr>
          <w:rFonts w:ascii="Arial" w:hAnsi="Arial" w:cs="Arial"/>
          <w:sz w:val="21"/>
          <w:szCs w:val="21"/>
        </w:rPr>
      </w:pPr>
      <w:r>
        <w:rPr>
          <w:rFonts w:ascii="Arial" w:hAnsi="Arial" w:cs="Arial"/>
          <w:sz w:val="21"/>
          <w:szCs w:val="21"/>
        </w:rPr>
        <w:t> </w:t>
      </w:r>
    </w:p>
    <w:p w:rsidR="00B269C7" w:rsidRDefault="00B269C7" w:rsidP="00B269C7">
      <w:pPr>
        <w:pStyle w:val="a6"/>
        <w:shd w:val="clear" w:color="auto" w:fill="F4F4F4"/>
        <w:spacing w:line="432" w:lineRule="auto"/>
        <w:jc w:val="right"/>
        <w:rPr>
          <w:rFonts w:ascii="Arial" w:hAnsi="Arial" w:cs="Arial"/>
          <w:sz w:val="21"/>
          <w:szCs w:val="21"/>
        </w:rPr>
      </w:pPr>
      <w:r>
        <w:rPr>
          <w:rFonts w:ascii="Arial" w:hAnsi="Arial" w:cs="Arial"/>
          <w:sz w:val="21"/>
          <w:szCs w:val="21"/>
        </w:rPr>
        <w:lastRenderedPageBreak/>
        <w:t>人事组织处</w:t>
      </w:r>
    </w:p>
    <w:p w:rsidR="00B269C7" w:rsidRDefault="00B269C7" w:rsidP="00B269C7">
      <w:pPr>
        <w:pStyle w:val="a6"/>
        <w:shd w:val="clear" w:color="auto" w:fill="F4F4F4"/>
        <w:spacing w:line="432" w:lineRule="auto"/>
        <w:jc w:val="right"/>
        <w:rPr>
          <w:rFonts w:ascii="Arial" w:hAnsi="Arial" w:cs="Arial"/>
          <w:sz w:val="21"/>
          <w:szCs w:val="21"/>
        </w:rPr>
      </w:pPr>
      <w:r>
        <w:rPr>
          <w:rFonts w:ascii="Arial" w:hAnsi="Arial" w:cs="Arial"/>
          <w:sz w:val="21"/>
          <w:szCs w:val="21"/>
        </w:rPr>
        <w:t>二</w:t>
      </w:r>
      <w:r>
        <w:rPr>
          <w:rFonts w:ascii="Arial" w:hAnsi="Arial" w:cs="Arial"/>
          <w:sz w:val="21"/>
          <w:szCs w:val="21"/>
        </w:rPr>
        <w:t>○</w:t>
      </w:r>
      <w:r>
        <w:rPr>
          <w:rFonts w:ascii="Arial" w:hAnsi="Arial" w:cs="Arial"/>
          <w:sz w:val="21"/>
          <w:szCs w:val="21"/>
        </w:rPr>
        <w:t>一五年六月二十五日</w:t>
      </w:r>
    </w:p>
    <w:p w:rsidR="00B269C7" w:rsidRPr="00B269C7" w:rsidRDefault="00B269C7" w:rsidP="00B269C7">
      <w:bookmarkStart w:id="0" w:name="_GoBack"/>
      <w:bookmarkEnd w:id="0"/>
    </w:p>
    <w:sectPr w:rsidR="00B269C7" w:rsidRPr="00B269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335" w:rsidRDefault="00C73335" w:rsidP="00B269C7">
      <w:r>
        <w:separator/>
      </w:r>
    </w:p>
  </w:endnote>
  <w:endnote w:type="continuationSeparator" w:id="0">
    <w:p w:rsidR="00C73335" w:rsidRDefault="00C73335" w:rsidP="00B2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335" w:rsidRDefault="00C73335" w:rsidP="00B269C7">
      <w:r>
        <w:separator/>
      </w:r>
    </w:p>
  </w:footnote>
  <w:footnote w:type="continuationSeparator" w:id="0">
    <w:p w:rsidR="00C73335" w:rsidRDefault="00C73335" w:rsidP="00B269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70FB"/>
    <w:rsid w:val="004C6ACC"/>
    <w:rsid w:val="00AD0C61"/>
    <w:rsid w:val="00B269C7"/>
    <w:rsid w:val="00C73335"/>
    <w:rsid w:val="00FB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69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69C7"/>
    <w:rPr>
      <w:sz w:val="18"/>
      <w:szCs w:val="18"/>
    </w:rPr>
  </w:style>
  <w:style w:type="paragraph" w:styleId="a4">
    <w:name w:val="footer"/>
    <w:basedOn w:val="a"/>
    <w:link w:val="Char0"/>
    <w:uiPriority w:val="99"/>
    <w:unhideWhenUsed/>
    <w:rsid w:val="00B269C7"/>
    <w:pPr>
      <w:tabs>
        <w:tab w:val="center" w:pos="4153"/>
        <w:tab w:val="right" w:pos="8306"/>
      </w:tabs>
      <w:snapToGrid w:val="0"/>
      <w:jc w:val="left"/>
    </w:pPr>
    <w:rPr>
      <w:sz w:val="18"/>
      <w:szCs w:val="18"/>
    </w:rPr>
  </w:style>
  <w:style w:type="character" w:customStyle="1" w:styleId="Char0">
    <w:name w:val="页脚 Char"/>
    <w:basedOn w:val="a0"/>
    <w:link w:val="a4"/>
    <w:uiPriority w:val="99"/>
    <w:rsid w:val="00B269C7"/>
    <w:rPr>
      <w:sz w:val="18"/>
      <w:szCs w:val="18"/>
    </w:rPr>
  </w:style>
  <w:style w:type="character" w:styleId="a5">
    <w:name w:val="Strong"/>
    <w:basedOn w:val="a0"/>
    <w:uiPriority w:val="22"/>
    <w:qFormat/>
    <w:rsid w:val="00B269C7"/>
    <w:rPr>
      <w:b/>
      <w:bCs/>
    </w:rPr>
  </w:style>
  <w:style w:type="paragraph" w:styleId="a6">
    <w:name w:val="Normal (Web)"/>
    <w:basedOn w:val="a"/>
    <w:uiPriority w:val="99"/>
    <w:semiHidden/>
    <w:unhideWhenUsed/>
    <w:rsid w:val="00B269C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69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69C7"/>
    <w:rPr>
      <w:sz w:val="18"/>
      <w:szCs w:val="18"/>
    </w:rPr>
  </w:style>
  <w:style w:type="paragraph" w:styleId="a4">
    <w:name w:val="footer"/>
    <w:basedOn w:val="a"/>
    <w:link w:val="Char0"/>
    <w:uiPriority w:val="99"/>
    <w:unhideWhenUsed/>
    <w:rsid w:val="00B269C7"/>
    <w:pPr>
      <w:tabs>
        <w:tab w:val="center" w:pos="4153"/>
        <w:tab w:val="right" w:pos="8306"/>
      </w:tabs>
      <w:snapToGrid w:val="0"/>
      <w:jc w:val="left"/>
    </w:pPr>
    <w:rPr>
      <w:sz w:val="18"/>
      <w:szCs w:val="18"/>
    </w:rPr>
  </w:style>
  <w:style w:type="character" w:customStyle="1" w:styleId="Char0">
    <w:name w:val="页脚 Char"/>
    <w:basedOn w:val="a0"/>
    <w:link w:val="a4"/>
    <w:uiPriority w:val="99"/>
    <w:rsid w:val="00B269C7"/>
    <w:rPr>
      <w:sz w:val="18"/>
      <w:szCs w:val="18"/>
    </w:rPr>
  </w:style>
  <w:style w:type="character" w:styleId="a5">
    <w:name w:val="Strong"/>
    <w:basedOn w:val="a0"/>
    <w:uiPriority w:val="22"/>
    <w:qFormat/>
    <w:rsid w:val="00B269C7"/>
    <w:rPr>
      <w:b/>
      <w:bCs/>
    </w:rPr>
  </w:style>
  <w:style w:type="paragraph" w:styleId="a6">
    <w:name w:val="Normal (Web)"/>
    <w:basedOn w:val="a"/>
    <w:uiPriority w:val="99"/>
    <w:semiHidden/>
    <w:unhideWhenUsed/>
    <w:rsid w:val="00B269C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335598">
      <w:bodyDiv w:val="1"/>
      <w:marLeft w:val="0"/>
      <w:marRight w:val="0"/>
      <w:marTop w:val="0"/>
      <w:marBottom w:val="0"/>
      <w:divBdr>
        <w:top w:val="none" w:sz="0" w:space="0" w:color="auto"/>
        <w:left w:val="none" w:sz="0" w:space="0" w:color="auto"/>
        <w:bottom w:val="none" w:sz="0" w:space="0" w:color="auto"/>
        <w:right w:val="none" w:sz="0" w:space="0" w:color="auto"/>
      </w:divBdr>
      <w:divsChild>
        <w:div w:id="54864025">
          <w:marLeft w:val="0"/>
          <w:marRight w:val="0"/>
          <w:marTop w:val="0"/>
          <w:marBottom w:val="0"/>
          <w:divBdr>
            <w:top w:val="none" w:sz="0" w:space="0" w:color="auto"/>
            <w:left w:val="none" w:sz="0" w:space="0" w:color="auto"/>
            <w:bottom w:val="none" w:sz="0" w:space="0" w:color="auto"/>
            <w:right w:val="none" w:sz="0" w:space="0" w:color="auto"/>
          </w:divBdr>
          <w:divsChild>
            <w:div w:id="2099131592">
              <w:marLeft w:val="0"/>
              <w:marRight w:val="0"/>
              <w:marTop w:val="225"/>
              <w:marBottom w:val="0"/>
              <w:divBdr>
                <w:top w:val="single" w:sz="6" w:space="0" w:color="D7D7D7"/>
                <w:left w:val="single" w:sz="6" w:space="0" w:color="D7D7D7"/>
                <w:bottom w:val="single" w:sz="6" w:space="30" w:color="D7D7D7"/>
                <w:right w:val="single" w:sz="6" w:space="0" w:color="D7D7D7"/>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675</Words>
  <Characters>3850</Characters>
  <Application>Microsoft Office Word</Application>
  <DocSecurity>0</DocSecurity>
  <Lines>32</Lines>
  <Paragraphs>9</Paragraphs>
  <ScaleCrop>false</ScaleCrop>
  <Company/>
  <LinksUpToDate>false</LinksUpToDate>
  <CharactersWithSpaces>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2015-06-26T02:40:00Z</dcterms:created>
  <dcterms:modified xsi:type="dcterms:W3CDTF">2015-06-26T02:42:00Z</dcterms:modified>
</cp:coreProperties>
</file>